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6E" w:rsidRPr="00E7423C" w:rsidRDefault="001C046E" w:rsidP="001C046E">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Утверждено</w:t>
      </w:r>
    </w:p>
    <w:p w:rsidR="001C046E" w:rsidRPr="00E7423C" w:rsidRDefault="001C046E" w:rsidP="001C046E">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Times New Roman" w:hAnsi="Times New Roman" w:cs="Times New Roman"/>
          <w:sz w:val="18"/>
          <w:szCs w:val="18"/>
          <w:lang w:val="ru-RU" w:eastAsia="ru-RU"/>
        </w:rPr>
        <w:t>Решением очередного общего собрания членов</w:t>
      </w:r>
    </w:p>
    <w:p w:rsidR="001C046E" w:rsidRPr="00E7423C" w:rsidRDefault="001C046E" w:rsidP="001C046E">
      <w:pPr>
        <w:autoSpaceDE w:val="0"/>
        <w:ind w:left="2694"/>
        <w:jc w:val="right"/>
        <w:rPr>
          <w:rFonts w:ascii="Times New Roman" w:eastAsia="Times New Roman" w:hAnsi="Times New Roman" w:cs="Times New Roman"/>
          <w:b/>
          <w:sz w:val="18"/>
          <w:szCs w:val="18"/>
          <w:lang w:val="ru-RU" w:eastAsia="ru-RU"/>
        </w:rPr>
      </w:pPr>
      <w:r w:rsidRPr="00E7423C">
        <w:rPr>
          <w:rFonts w:ascii="Times New Roman" w:eastAsia="Calibri" w:hAnsi="Times New Roman" w:cs="Times New Roman"/>
          <w:b/>
          <w:sz w:val="18"/>
          <w:szCs w:val="18"/>
          <w:lang w:val="ru-RU"/>
        </w:rPr>
        <w:t>Ассоциации строительных организаций в области строительства и реконструкции</w:t>
      </w:r>
    </w:p>
    <w:p w:rsidR="001C046E" w:rsidRPr="00E7423C" w:rsidRDefault="001C046E" w:rsidP="001C046E">
      <w:pPr>
        <w:autoSpaceDE w:val="0"/>
        <w:ind w:left="2694"/>
        <w:jc w:val="right"/>
        <w:rPr>
          <w:rFonts w:ascii="Times New Roman" w:eastAsia="Times New Roman" w:hAnsi="Times New Roman" w:cs="Times New Roman"/>
          <w:sz w:val="18"/>
          <w:szCs w:val="18"/>
          <w:lang w:val="ru-RU" w:eastAsia="ru-RU"/>
        </w:rPr>
      </w:pPr>
      <w:r w:rsidRPr="00E7423C">
        <w:rPr>
          <w:rFonts w:ascii="Times New Roman" w:eastAsia="Calibri" w:hAnsi="Times New Roman" w:cs="Times New Roman"/>
          <w:b/>
          <w:sz w:val="18"/>
          <w:szCs w:val="18"/>
          <w:lang w:val="ru-RU"/>
        </w:rPr>
        <w:t>«Строительный Инженерно-Логистический Альянс»</w:t>
      </w: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(протокол от 07 апреля 2022</w:t>
      </w:r>
      <w:bookmarkStart w:id="0" w:name="_GoBack"/>
      <w:bookmarkEnd w:id="0"/>
      <w:r w:rsidRPr="00E7423C">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16</w:t>
      </w:r>
      <w:r w:rsidRPr="00E7423C">
        <w:rPr>
          <w:rFonts w:ascii="Times New Roman" w:eastAsia="Times New Roman" w:hAnsi="Times New Roman" w:cs="Times New Roman"/>
          <w:sz w:val="18"/>
          <w:szCs w:val="18"/>
          <w:lang w:val="ru-RU" w:eastAsia="ru-RU"/>
        </w:rPr>
        <w:t>)</w:t>
      </w: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autoSpaceDE w:val="0"/>
        <w:ind w:left="3119" w:firstLine="425"/>
        <w:jc w:val="right"/>
        <w:rPr>
          <w:rFonts w:ascii="Times New Roman" w:eastAsia="Times New Roman" w:hAnsi="Times New Roman" w:cs="Times New Roman"/>
          <w:sz w:val="18"/>
          <w:szCs w:val="18"/>
          <w:lang w:val="ru-RU" w:eastAsia="ru-RU"/>
        </w:rPr>
      </w:pPr>
    </w:p>
    <w:p w:rsidR="001C046E" w:rsidRDefault="001C046E" w:rsidP="001C046E">
      <w:pPr>
        <w:spacing w:line="280" w:lineRule="exact"/>
        <w:rPr>
          <w:rFonts w:ascii="Times New Roman" w:hAnsi="Times New Roman" w:cs="Times New Roman"/>
          <w:b/>
          <w:i/>
          <w:sz w:val="28"/>
          <w:szCs w:val="28"/>
          <w:lang w:val="ru-RU"/>
        </w:rPr>
      </w:pPr>
      <w:r w:rsidRPr="00A156FA">
        <w:rPr>
          <w:rFonts w:ascii="Times New Roman" w:hAnsi="Times New Roman" w:cs="Times New Roman"/>
          <w:b/>
          <w:i/>
          <w:sz w:val="28"/>
          <w:szCs w:val="28"/>
          <w:lang w:val="ru-RU"/>
        </w:rPr>
        <w:t>Положение о компенсационном фонде возмещения вреда Ассоциации строительных организаций в области строительства и реконструкции «Строительный Инженерно-Логистический Альянс»</w:t>
      </w: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Default="001C046E" w:rsidP="001C046E">
      <w:pPr>
        <w:spacing w:line="280" w:lineRule="exact"/>
        <w:rPr>
          <w:rFonts w:ascii="Times New Roman" w:hAnsi="Times New Roman" w:cs="Times New Roman"/>
          <w:b/>
          <w:i/>
          <w:sz w:val="28"/>
          <w:szCs w:val="28"/>
          <w:lang w:val="ru-RU"/>
        </w:rPr>
      </w:pPr>
    </w:p>
    <w:p w:rsidR="001C046E" w:rsidRPr="00A156FA" w:rsidRDefault="001C046E" w:rsidP="001C046E">
      <w:pPr>
        <w:pStyle w:val="1"/>
        <w:ind w:left="0" w:right="-8"/>
        <w:jc w:val="center"/>
        <w:rPr>
          <w:b w:val="0"/>
          <w:spacing w:val="25"/>
          <w:lang w:val="ru-RU"/>
        </w:rPr>
      </w:pPr>
      <w:r w:rsidRPr="00A156FA">
        <w:rPr>
          <w:b w:val="0"/>
          <w:spacing w:val="-1"/>
          <w:lang w:val="ru-RU"/>
        </w:rPr>
        <w:t>Москва</w:t>
      </w:r>
    </w:p>
    <w:p w:rsidR="001C046E" w:rsidRPr="00A156FA" w:rsidRDefault="001C046E" w:rsidP="001C046E">
      <w:pPr>
        <w:pStyle w:val="1"/>
        <w:ind w:left="0" w:right="-8"/>
        <w:jc w:val="center"/>
        <w:rPr>
          <w:b w:val="0"/>
          <w:spacing w:val="25"/>
          <w:lang w:val="ru-RU"/>
        </w:rPr>
        <w:sectPr w:rsidR="001C046E" w:rsidRPr="00A156FA" w:rsidSect="001C046E">
          <w:footerReference w:type="default" r:id="rId4"/>
          <w:pgSz w:w="11910" w:h="16840"/>
          <w:pgMar w:top="1060" w:right="740" w:bottom="960" w:left="1680" w:header="567" w:footer="567" w:gutter="0"/>
          <w:pgNumType w:start="1"/>
          <w:cols w:space="720"/>
          <w:titlePg/>
          <w:docGrid w:linePitch="299"/>
        </w:sectPr>
      </w:pPr>
      <w:r w:rsidRPr="00A156FA">
        <w:rPr>
          <w:b w:val="0"/>
          <w:lang w:val="ru-RU"/>
        </w:rPr>
        <w:t>202</w:t>
      </w:r>
      <w:r>
        <w:rPr>
          <w:b w:val="0"/>
          <w:lang w:val="ru-RU"/>
        </w:rPr>
        <w:t>2</w:t>
      </w:r>
    </w:p>
    <w:p w:rsidR="001C046E" w:rsidRPr="00A156FA" w:rsidRDefault="001C046E" w:rsidP="001C046E">
      <w:pPr>
        <w:pStyle w:val="a3"/>
        <w:spacing w:before="0" w:beforeAutospacing="0" w:after="0" w:afterAutospacing="0"/>
        <w:jc w:val="center"/>
        <w:textAlignment w:val="top"/>
        <w:rPr>
          <w:b/>
          <w:sz w:val="28"/>
          <w:szCs w:val="28"/>
        </w:rPr>
      </w:pPr>
      <w:r w:rsidRPr="00A156FA">
        <w:rPr>
          <w:b/>
          <w:sz w:val="28"/>
          <w:szCs w:val="28"/>
        </w:rPr>
        <w:lastRenderedPageBreak/>
        <w:t>1. Общие положения</w:t>
      </w:r>
    </w:p>
    <w:p w:rsidR="001C046E" w:rsidRPr="00A156FA" w:rsidRDefault="001C046E" w:rsidP="001C046E">
      <w:pPr>
        <w:adjustRightInd w:val="0"/>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1.1. Настоящее Положение </w:t>
      </w:r>
      <w:r w:rsidRPr="00A156FA">
        <w:rPr>
          <w:rFonts w:ascii="Times New Roman" w:hAnsi="Times New Roman" w:cs="Times New Roman"/>
          <w:sz w:val="24"/>
          <w:szCs w:val="24"/>
          <w:lang w:val="ru-RU"/>
        </w:rPr>
        <w:t xml:space="preserve">регулирует вопросы создания, размещения и использования компенсационного фонда </w:t>
      </w:r>
      <w:r w:rsidRPr="00A156FA">
        <w:rPr>
          <w:rFonts w:ascii="Times New Roman" w:eastAsia="Times New Roman" w:hAnsi="Times New Roman" w:cs="Times New Roman"/>
          <w:sz w:val="24"/>
          <w:szCs w:val="24"/>
          <w:lang w:val="ru-RU" w:eastAsia="ru-RU"/>
        </w:rPr>
        <w:t>Ассоциации строительных организаций в области строительства и реконструкции «Строительный Инженерно-Логистический Альянс» (далее – Ассоциация).</w:t>
      </w:r>
    </w:p>
    <w:p w:rsidR="001C046E" w:rsidRDefault="001C046E" w:rsidP="001C046E">
      <w:pPr>
        <w:adjustRightInd w:val="0"/>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1.2. </w:t>
      </w:r>
      <w:r w:rsidRPr="00531657">
        <w:rPr>
          <w:rFonts w:ascii="Times New Roman" w:eastAsia="Times New Roman" w:hAnsi="Times New Roman" w:cs="Times New Roman"/>
          <w:sz w:val="24"/>
          <w:szCs w:val="24"/>
          <w:lang w:val="ru-RU" w:eastAsia="ru-RU"/>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Ассоциации.</w:t>
      </w:r>
    </w:p>
    <w:p w:rsidR="001C046E" w:rsidRPr="00A156FA" w:rsidRDefault="001C046E" w:rsidP="001C046E">
      <w:pPr>
        <w:adjustRightInd w:val="0"/>
        <w:ind w:firstLine="567"/>
        <w:jc w:val="both"/>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r w:rsidRPr="00531657">
        <w:rPr>
          <w:rFonts w:ascii="Times New Roman" w:eastAsia="Times New Roman" w:hAnsi="Times New Roman" w:cs="Times New Roman"/>
          <w:sz w:val="24"/>
          <w:szCs w:val="24"/>
          <w:lang w:val="ru-RU" w:eastAsia="ru-RU"/>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1C046E" w:rsidRPr="00A156FA" w:rsidRDefault="001C046E" w:rsidP="001C046E">
      <w:pPr>
        <w:pStyle w:val="a3"/>
        <w:spacing w:before="0" w:beforeAutospacing="0" w:after="0" w:afterAutospacing="0"/>
        <w:textAlignment w:val="top"/>
        <w:rPr>
          <w:b/>
        </w:rPr>
      </w:pPr>
    </w:p>
    <w:p w:rsidR="001C046E" w:rsidRPr="00A156FA" w:rsidRDefault="001C046E" w:rsidP="001C046E">
      <w:pPr>
        <w:pStyle w:val="a3"/>
        <w:spacing w:before="0" w:beforeAutospacing="0" w:after="0" w:afterAutospacing="0"/>
        <w:jc w:val="center"/>
        <w:textAlignment w:val="top"/>
        <w:rPr>
          <w:b/>
          <w:sz w:val="28"/>
          <w:szCs w:val="28"/>
        </w:rPr>
      </w:pPr>
      <w:r w:rsidRPr="00A156FA">
        <w:rPr>
          <w:b/>
          <w:sz w:val="28"/>
          <w:szCs w:val="28"/>
        </w:rPr>
        <w:t>2. Компенсационный фонд возмещения вреда</w:t>
      </w:r>
    </w:p>
    <w:p w:rsidR="001C046E" w:rsidRPr="00A156FA" w:rsidRDefault="001C046E" w:rsidP="001C046E">
      <w:pPr>
        <w:pStyle w:val="a3"/>
        <w:spacing w:before="0" w:beforeAutospacing="0" w:after="0" w:afterAutospacing="0"/>
        <w:ind w:firstLine="567"/>
        <w:jc w:val="both"/>
        <w:textAlignment w:val="top"/>
      </w:pPr>
      <w:r w:rsidRPr="00A156FA">
        <w:t>2.1.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а также доходов, полученных от размещения средств такого компенсационного фонда.</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2.2.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1C046E" w:rsidRPr="00A156FA" w:rsidRDefault="001C046E" w:rsidP="001C046E">
      <w:pPr>
        <w:pStyle w:val="a3"/>
        <w:spacing w:before="0" w:beforeAutospacing="0" w:after="0" w:afterAutospacing="0"/>
        <w:ind w:firstLine="709"/>
        <w:jc w:val="both"/>
        <w:textAlignment w:val="top"/>
      </w:pPr>
    </w:p>
    <w:p w:rsidR="001C046E" w:rsidRPr="00A156FA" w:rsidRDefault="001C046E" w:rsidP="001C046E">
      <w:pPr>
        <w:pStyle w:val="a3"/>
        <w:spacing w:before="0" w:beforeAutospacing="0" w:after="0" w:afterAutospacing="0"/>
        <w:jc w:val="center"/>
        <w:textAlignment w:val="top"/>
        <w:rPr>
          <w:b/>
          <w:sz w:val="28"/>
          <w:szCs w:val="28"/>
        </w:rPr>
      </w:pPr>
      <w:r w:rsidRPr="00A156FA">
        <w:rPr>
          <w:b/>
          <w:sz w:val="28"/>
          <w:szCs w:val="28"/>
        </w:rPr>
        <w:t>3. Размер взноса и порядок формирования</w:t>
      </w:r>
    </w:p>
    <w:p w:rsidR="001C046E" w:rsidRPr="00A156FA" w:rsidRDefault="001C046E" w:rsidP="001C046E">
      <w:pPr>
        <w:pStyle w:val="a3"/>
        <w:spacing w:before="0" w:beforeAutospacing="0" w:after="0" w:afterAutospacing="0"/>
        <w:jc w:val="center"/>
        <w:textAlignment w:val="top"/>
        <w:rPr>
          <w:sz w:val="28"/>
          <w:szCs w:val="28"/>
        </w:rPr>
      </w:pPr>
      <w:r w:rsidRPr="00A156FA">
        <w:rPr>
          <w:b/>
          <w:sz w:val="28"/>
          <w:szCs w:val="28"/>
        </w:rPr>
        <w:t>компенсационного фонда возмещения вреда</w:t>
      </w:r>
    </w:p>
    <w:p w:rsidR="001C046E" w:rsidRPr="00A156FA" w:rsidRDefault="001C046E" w:rsidP="001C046E">
      <w:pPr>
        <w:pStyle w:val="a3"/>
        <w:spacing w:before="0" w:beforeAutospacing="0" w:after="0" w:afterAutospacing="0"/>
        <w:ind w:firstLine="567"/>
        <w:jc w:val="both"/>
        <w:textAlignment w:val="top"/>
      </w:pPr>
      <w:r w:rsidRPr="00A156FA">
        <w:t>3.1. Компенсационный фонд возмещения вреда формируется:</w:t>
      </w:r>
    </w:p>
    <w:p w:rsidR="001C046E" w:rsidRPr="00A156FA" w:rsidRDefault="001C046E" w:rsidP="001C046E">
      <w:pPr>
        <w:pStyle w:val="ConsPlusNormal"/>
        <w:ind w:firstLine="567"/>
        <w:jc w:val="both"/>
        <w:rPr>
          <w:sz w:val="24"/>
          <w:szCs w:val="24"/>
        </w:rPr>
      </w:pPr>
      <w:r w:rsidRPr="00A156FA">
        <w:rPr>
          <w:sz w:val="24"/>
          <w:szCs w:val="24"/>
        </w:rPr>
        <w:t>3.1.1. из взносов юридических лиц и индивидуальных предпринимателей в отношении которых принято решение о приеме в члены Ассоциации;</w:t>
      </w:r>
    </w:p>
    <w:p w:rsidR="001C046E" w:rsidRPr="00A156FA" w:rsidRDefault="001C046E" w:rsidP="001C046E">
      <w:pPr>
        <w:pStyle w:val="ConsPlusNormal"/>
        <w:ind w:firstLine="567"/>
        <w:jc w:val="both"/>
        <w:rPr>
          <w:sz w:val="24"/>
          <w:szCs w:val="24"/>
        </w:rPr>
      </w:pPr>
      <w:r w:rsidRPr="00A156FA">
        <w:rPr>
          <w:sz w:val="24"/>
          <w:szCs w:val="24"/>
        </w:rPr>
        <w:t>3.1.2. из взносов членов Ассоциации, заявивших об увеличении уровня ответственности по обязательствам,</w:t>
      </w:r>
      <w:r w:rsidRPr="00A156FA">
        <w:rPr>
          <w:rFonts w:eastAsiaTheme="minorHAnsi"/>
          <w:sz w:val="24"/>
          <w:szCs w:val="24"/>
          <w:lang w:eastAsia="en-US"/>
        </w:rPr>
        <w:t xml:space="preserve"> </w:t>
      </w:r>
      <w:r w:rsidRPr="00A156FA">
        <w:rPr>
          <w:sz w:val="24"/>
          <w:szCs w:val="24"/>
        </w:rPr>
        <w:t xml:space="preserve">предусмотренным частью 12 статьи 55.16 Градостроительного кодекса Российской Федерации;  </w:t>
      </w:r>
    </w:p>
    <w:p w:rsidR="001C046E" w:rsidRPr="00A156FA" w:rsidRDefault="001C046E" w:rsidP="001C046E">
      <w:pPr>
        <w:pStyle w:val="ConsPlusNormal"/>
        <w:ind w:firstLine="567"/>
        <w:jc w:val="both"/>
        <w:rPr>
          <w:sz w:val="24"/>
          <w:szCs w:val="24"/>
        </w:rPr>
      </w:pPr>
      <w:r w:rsidRPr="00A156FA">
        <w:rPr>
          <w:sz w:val="24"/>
          <w:szCs w:val="24"/>
        </w:rPr>
        <w:t>3.1.3. из денежных средств, полученных Ассоциацией в результате наложения на члена Ассоциации штрафа в качестве меры дисциплинарного воздействия;</w:t>
      </w:r>
    </w:p>
    <w:p w:rsidR="001C046E" w:rsidRPr="00A156FA" w:rsidRDefault="001C046E" w:rsidP="001C046E">
      <w:pPr>
        <w:pStyle w:val="ConsPlusNormal"/>
        <w:ind w:firstLine="567"/>
        <w:jc w:val="both"/>
        <w:rPr>
          <w:sz w:val="24"/>
          <w:szCs w:val="24"/>
        </w:rPr>
      </w:pPr>
      <w:r w:rsidRPr="00A156FA">
        <w:rPr>
          <w:sz w:val="24"/>
          <w:szCs w:val="24"/>
        </w:rPr>
        <w:t>3.1.4. из доходов, полученных от размещения (инвестирования) средств компенсационного фонда возмещения вреда;</w:t>
      </w:r>
    </w:p>
    <w:p w:rsidR="001C046E" w:rsidRPr="00A156FA" w:rsidRDefault="001C046E" w:rsidP="001C046E">
      <w:pPr>
        <w:pStyle w:val="ConsPlusNormal"/>
        <w:ind w:firstLine="567"/>
        <w:jc w:val="both"/>
        <w:rPr>
          <w:sz w:val="24"/>
          <w:szCs w:val="24"/>
        </w:rPr>
      </w:pPr>
      <w:r w:rsidRPr="00A156FA">
        <w:rPr>
          <w:sz w:val="24"/>
          <w:szCs w:val="24"/>
        </w:rPr>
        <w:t xml:space="preserve">3.1.5. из взносов членов Ассоциации, уплаченных в целях восполнения компенсационного фонда возмещения вреда в соответствии с Положением; </w:t>
      </w:r>
    </w:p>
    <w:p w:rsidR="001C046E" w:rsidRPr="00A156FA" w:rsidRDefault="001C046E" w:rsidP="001C046E">
      <w:pPr>
        <w:pStyle w:val="ConsPlusNormal"/>
        <w:ind w:firstLine="567"/>
        <w:jc w:val="both"/>
        <w:rPr>
          <w:sz w:val="24"/>
          <w:szCs w:val="24"/>
        </w:rPr>
      </w:pPr>
      <w:r w:rsidRPr="00A156FA">
        <w:rPr>
          <w:sz w:val="24"/>
          <w:szCs w:val="24"/>
        </w:rPr>
        <w:t xml:space="preserve">3.1.6. из взносов, перечисленных Национальным объединением саморегулируемых организаций, основанных на членстве лиц, осуществляющих строительство в </w:t>
      </w:r>
      <w:r w:rsidRPr="00A156FA">
        <w:rPr>
          <w:sz w:val="24"/>
          <w:szCs w:val="24"/>
        </w:rPr>
        <w:lastRenderedPageBreak/>
        <w:t>соответствии с частью 16 статьи 55.16 Градостроительного кодекса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3.2. Размер взноса в компенсационный фонд возмещения вреда устанавливается общим собранием членов Ассоциации и определяется в настоящем разделе Положения.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 Размер взноса в компенсационный фонд возмещения вреда Ассоциации на одного члена в зависимости от уровня ответственности члена Ассоциации составляет:</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3.3.1. сто тысяч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 стоимость которого по одному договору не превышает шестьдесят миллионов рублей (первый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3.3.2. пятьсот тысяч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3.3.3. один миллион пятьсот тысяч рублей в случае, если член Ассоциации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3.3.4. два миллиона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3.3.5. пять миллионов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3.3.6. сто тысяч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3.4. Член Ассоциации обязан уплатить взнос в компенсационный фонд возмещения вреда Ассоциации в срок, установленный действующим законодательством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3.5.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w:t>
      </w:r>
    </w:p>
    <w:p w:rsidR="001C046E" w:rsidRPr="00531657"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3.6. Не допускается уплата взноса в компенсационный фонд возмещения вреда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установленных частью 16 статьи 55.16 </w:t>
      </w:r>
      <w:r w:rsidRPr="00531657">
        <w:rPr>
          <w:rFonts w:ascii="Times New Roman" w:eastAsia="Times New Roman" w:hAnsi="Times New Roman" w:cs="Times New Roman"/>
          <w:sz w:val="24"/>
          <w:szCs w:val="24"/>
          <w:lang w:val="ru-RU" w:eastAsia="ru-RU"/>
        </w:rPr>
        <w:t>и частью 10 статьи 55.7 Градостроительного кодекс</w:t>
      </w:r>
      <w:r>
        <w:rPr>
          <w:rFonts w:ascii="Times New Roman" w:eastAsia="Times New Roman" w:hAnsi="Times New Roman" w:cs="Times New Roman"/>
          <w:sz w:val="24"/>
          <w:szCs w:val="24"/>
          <w:lang w:val="ru-RU" w:eastAsia="ru-RU"/>
        </w:rPr>
        <w:t>а Российской Федерации</w:t>
      </w:r>
      <w:r w:rsidRPr="00531657">
        <w:rPr>
          <w:rFonts w:ascii="Times New Roman" w:eastAsia="Times New Roman" w:hAnsi="Times New Roman" w:cs="Times New Roman"/>
          <w:sz w:val="24"/>
          <w:szCs w:val="24"/>
          <w:lang w:val="ru-RU" w:eastAsia="ru-RU"/>
        </w:rPr>
        <w:t>:</w:t>
      </w:r>
    </w:p>
    <w:p w:rsidR="001C046E" w:rsidRPr="00531657" w:rsidRDefault="001C046E" w:rsidP="001C046E">
      <w:pPr>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r w:rsidRPr="00531657">
        <w:rPr>
          <w:rFonts w:ascii="Times New Roman" w:eastAsia="Times New Roman" w:hAnsi="Times New Roman" w:cs="Times New Roman"/>
          <w:sz w:val="24"/>
          <w:szCs w:val="24"/>
          <w:lang w:val="ru-RU" w:eastAsia="ru-RU"/>
        </w:rPr>
        <w:t>1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 вправе обратиться в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(фондов), если принято решение о приеме индивидуального предпринимателя или юридического лица в члены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3.6</w:t>
      </w:r>
      <w:r w:rsidRPr="00531657">
        <w:rPr>
          <w:rFonts w:ascii="Times New Roman" w:eastAsia="Times New Roman" w:hAnsi="Times New Roman" w:cs="Times New Roman"/>
          <w:sz w:val="24"/>
          <w:szCs w:val="24"/>
          <w:lang w:val="ru-RU" w:eastAsia="ru-RU"/>
        </w:rPr>
        <w:t xml:space="preserve">.2 Саморегулируемая организация, основанная на членстве лиц, осуществляющих строительство, членство в которой было прекращено юридическим лицом, </w:t>
      </w:r>
      <w:r w:rsidRPr="00531657">
        <w:rPr>
          <w:rFonts w:ascii="Times New Roman" w:eastAsia="Times New Roman" w:hAnsi="Times New Roman" w:cs="Times New Roman"/>
          <w:sz w:val="24"/>
          <w:szCs w:val="24"/>
          <w:lang w:val="ru-RU" w:eastAsia="ru-RU"/>
        </w:rPr>
        <w:lastRenderedPageBreak/>
        <w:t>индивидуальным предпринимателем в соответствии с частью 17 статьи 55.6 Градостроительного Кодекса Российской Федерация,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возмещения вреда. Со дня поступления денежных средств в компенсационный фонд возмещения вреда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статьей 60 Градостроительного Кодекса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 3.7. Лицу, прекратившему членство в Ассоциации, уплаченные взносы в компенсационный фонд возмещения вреда Ассоциации не возвращаются.</w:t>
      </w:r>
    </w:p>
    <w:p w:rsidR="001C046E" w:rsidRPr="00A156FA" w:rsidRDefault="001C046E" w:rsidP="001C046E">
      <w:pPr>
        <w:pStyle w:val="a3"/>
        <w:spacing w:before="0" w:beforeAutospacing="0" w:after="0" w:afterAutospacing="0"/>
        <w:ind w:firstLine="709"/>
        <w:jc w:val="both"/>
        <w:textAlignment w:val="top"/>
      </w:pPr>
    </w:p>
    <w:p w:rsidR="001C046E" w:rsidRPr="00A156FA" w:rsidRDefault="001C046E" w:rsidP="001C046E">
      <w:pPr>
        <w:pStyle w:val="a3"/>
        <w:spacing w:before="0" w:beforeAutospacing="0" w:after="0" w:afterAutospacing="0"/>
        <w:jc w:val="center"/>
        <w:textAlignment w:val="top"/>
        <w:rPr>
          <w:sz w:val="28"/>
          <w:szCs w:val="28"/>
        </w:rPr>
      </w:pPr>
      <w:r w:rsidRPr="00A156FA">
        <w:rPr>
          <w:b/>
          <w:sz w:val="28"/>
          <w:szCs w:val="28"/>
        </w:rPr>
        <w:t>4. Размещение средств компенсационного фонда возмещения вреда</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4.2. Кредитная организация обязана осуществлять операции по специальному банковскому счету, на котором размещены средства компенсационного фонда возмещения вреда Ассоциации, в соответствии с требованиями части 4 статьи 55.16 Градостроительного кодекса Российской Федерации. Иные операции по специальному банковскому счету не допускаются. При получении от органа надзора за саморегулируемыми организациями уведомления об исключении сведений о Ассоциации из государственного реестра саморегулируемых организаций кредитная организация обязана приостановить операции по специальному банковскому счету, на котором размещены средства компенсационного фонда возмещения вреда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4.3. Одним из существенных условий договора специального банковского счёта является согласие Ассоциации на предоставление кредитной организацией, в которой открыт специальный банковский счёт,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счёте, а также о средствах компенсационного фонда возмещения вреда, размещённых во вкладах (депозитах) и в иных финансовых активах, по форме, установленной Банком России.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4.4. Средства компенсационного фонда возмещения вреда, внесённые на специальный банковский счёт, используются на цели и в случаях, которые указаны в пунктах 5.1. настоящего Положения, иные операции по специальному банковскому счёту не допускаются.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4.5. Учёт средств компенсационного фонда возмещения вреда ведётся Ассоциацией раздельно от учёта иного имущества Ассоциации.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пунктами 5.1. настоящего Положения. Средства компенсационного фонда возмещения вреда не включаются в конкурсную массу при признании Ассоциации несостоятельным (банкротом).</w:t>
      </w:r>
    </w:p>
    <w:p w:rsidR="001C046E" w:rsidRPr="00531657"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4.6. Права на средства компенсационного фонда возмещения вреда, размещённые на специальном банковском счёте, принадлежат владельцу счёта.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w:t>
      </w:r>
      <w:r w:rsidRPr="00531657">
        <w:rPr>
          <w:rFonts w:ascii="Times New Roman" w:eastAsia="Times New Roman" w:hAnsi="Times New Roman" w:cs="Times New Roman"/>
          <w:sz w:val="24"/>
          <w:szCs w:val="24"/>
          <w:lang w:val="ru-RU" w:eastAsia="ru-RU"/>
        </w:rPr>
        <w:t xml:space="preserve">членом которого являлась такая </w:t>
      </w:r>
      <w:r w:rsidRPr="00531657">
        <w:rPr>
          <w:rFonts w:ascii="Times New Roman" w:eastAsia="Times New Roman" w:hAnsi="Times New Roman" w:cs="Times New Roman"/>
          <w:sz w:val="24"/>
          <w:szCs w:val="24"/>
          <w:lang w:val="ru-RU" w:eastAsia="ru-RU"/>
        </w:rPr>
        <w:lastRenderedPageBreak/>
        <w:t>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в соответствии с таким требованием о переводе.</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4.7.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счёт национальному объединению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Ассоциации по обязательствам членов Ассоциации, возникшим в случаях, предусмотренных статьей 60 Градостроительного кодекса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4.8.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4.9. 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десять рабочих дней с момента возникновения такой необходимости.</w:t>
      </w:r>
    </w:p>
    <w:p w:rsidR="001C046E" w:rsidRPr="00A156FA" w:rsidRDefault="001C046E" w:rsidP="001C046E">
      <w:pPr>
        <w:pStyle w:val="a3"/>
        <w:spacing w:before="0" w:beforeAutospacing="0" w:after="0" w:afterAutospacing="0"/>
        <w:jc w:val="both"/>
        <w:textAlignment w:val="top"/>
      </w:pPr>
    </w:p>
    <w:p w:rsidR="001C046E" w:rsidRPr="00A156FA" w:rsidRDefault="001C046E" w:rsidP="001C046E">
      <w:pPr>
        <w:pStyle w:val="a3"/>
        <w:spacing w:before="0" w:beforeAutospacing="0" w:after="0" w:afterAutospacing="0"/>
        <w:jc w:val="center"/>
        <w:textAlignment w:val="top"/>
        <w:rPr>
          <w:sz w:val="28"/>
          <w:szCs w:val="28"/>
        </w:rPr>
      </w:pPr>
      <w:r w:rsidRPr="00A156FA">
        <w:rPr>
          <w:b/>
          <w:sz w:val="28"/>
          <w:szCs w:val="28"/>
        </w:rPr>
        <w:t>5. Выплаты из средств компенсационного фонда возмещения вреда</w:t>
      </w:r>
    </w:p>
    <w:p w:rsidR="001C046E" w:rsidRPr="00A156FA" w:rsidRDefault="001C046E" w:rsidP="001C046E">
      <w:pPr>
        <w:pStyle w:val="a3"/>
        <w:spacing w:before="0" w:beforeAutospacing="0" w:after="0" w:afterAutospacing="0"/>
        <w:ind w:firstLine="567"/>
        <w:jc w:val="both"/>
        <w:textAlignment w:val="top"/>
      </w:pPr>
      <w:r w:rsidRPr="00A156FA">
        <w:t>5.1. Не допускается осуществление выплат из средств компенсационного фонда возмещения вреда, за исключением следующих случаев:</w:t>
      </w:r>
    </w:p>
    <w:p w:rsidR="001C046E" w:rsidRPr="00A156FA" w:rsidRDefault="001C046E" w:rsidP="001C046E">
      <w:pPr>
        <w:pStyle w:val="ConsPlusNormal"/>
        <w:ind w:firstLine="567"/>
        <w:jc w:val="both"/>
        <w:rPr>
          <w:sz w:val="24"/>
          <w:szCs w:val="24"/>
        </w:rPr>
      </w:pPr>
      <w:r w:rsidRPr="00A156FA">
        <w:rPr>
          <w:sz w:val="24"/>
          <w:szCs w:val="24"/>
        </w:rPr>
        <w:t>5.1.1. возврат ошибочно перечисленных средств;</w:t>
      </w:r>
    </w:p>
    <w:p w:rsidR="001C046E" w:rsidRPr="00A156FA" w:rsidRDefault="001C046E" w:rsidP="001C046E">
      <w:pPr>
        <w:pStyle w:val="ConsPlusNormal"/>
        <w:ind w:firstLine="567"/>
        <w:jc w:val="both"/>
        <w:rPr>
          <w:sz w:val="24"/>
          <w:szCs w:val="24"/>
        </w:rPr>
      </w:pPr>
      <w:r w:rsidRPr="00A156FA">
        <w:rPr>
          <w:sz w:val="24"/>
          <w:szCs w:val="24"/>
        </w:rPr>
        <w:t>5.1.2. размещение и (или) инвестирование средств компенсационного фонда возмещения вреда в целях их сохранения и увеличения их размера;</w:t>
      </w:r>
    </w:p>
    <w:p w:rsidR="001C046E" w:rsidRPr="00A156FA" w:rsidRDefault="001C046E" w:rsidP="001C046E">
      <w:pPr>
        <w:pStyle w:val="ConsPlusNormal"/>
        <w:ind w:firstLine="567"/>
        <w:jc w:val="both"/>
        <w:rPr>
          <w:sz w:val="24"/>
          <w:szCs w:val="24"/>
        </w:rPr>
      </w:pPr>
      <w:r w:rsidRPr="00A156FA">
        <w:rPr>
          <w:sz w:val="24"/>
          <w:szCs w:val="24"/>
        </w:rPr>
        <w:t>5.1.3.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Градостроительного кодекса Российской Федерации;</w:t>
      </w:r>
    </w:p>
    <w:p w:rsidR="001C046E" w:rsidRPr="00A156FA" w:rsidRDefault="001C046E" w:rsidP="001C046E">
      <w:pPr>
        <w:pStyle w:val="ConsPlusNormal"/>
        <w:ind w:firstLine="567"/>
        <w:jc w:val="both"/>
        <w:rPr>
          <w:sz w:val="24"/>
          <w:szCs w:val="24"/>
        </w:rPr>
      </w:pPr>
      <w:r w:rsidRPr="00A156FA">
        <w:rPr>
          <w:sz w:val="24"/>
          <w:szCs w:val="24"/>
        </w:rPr>
        <w:t>5.1.4.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C046E" w:rsidRDefault="001C046E" w:rsidP="001C046E">
      <w:pPr>
        <w:pStyle w:val="ConsPlusNormal"/>
        <w:ind w:firstLine="567"/>
        <w:jc w:val="both"/>
        <w:rPr>
          <w:sz w:val="24"/>
          <w:szCs w:val="24"/>
        </w:rPr>
      </w:pPr>
      <w:r w:rsidRPr="00A156FA">
        <w:rPr>
          <w:sz w:val="24"/>
          <w:szCs w:val="24"/>
        </w:rPr>
        <w:t xml:space="preserve">5.1.5. перечисление средств компенсационного фонда возмещения вреда Национальному объединению саморегулируемых организаций, основанному на членстве лиц, осуществляющих строительство, в случае исключения сведений об Ассоциации из государственного реестра саморегулируемых организаций. </w:t>
      </w:r>
    </w:p>
    <w:p w:rsidR="001C046E" w:rsidRPr="00531657" w:rsidRDefault="001C046E" w:rsidP="001C046E">
      <w:pPr>
        <w:pStyle w:val="ConsPlusNormal"/>
        <w:ind w:firstLine="567"/>
        <w:jc w:val="both"/>
        <w:rPr>
          <w:sz w:val="24"/>
          <w:szCs w:val="24"/>
        </w:rPr>
      </w:pPr>
      <w:r>
        <w:rPr>
          <w:sz w:val="24"/>
          <w:szCs w:val="24"/>
        </w:rPr>
        <w:t xml:space="preserve">5.1.6. </w:t>
      </w:r>
      <w:r w:rsidRPr="00531657">
        <w:rPr>
          <w:sz w:val="24"/>
          <w:szCs w:val="24"/>
        </w:rPr>
        <w:t xml:space="preserve">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w:t>
      </w:r>
      <w:r w:rsidRPr="00531657">
        <w:rPr>
          <w:sz w:val="24"/>
          <w:szCs w:val="24"/>
        </w:rPr>
        <w:lastRenderedPageBreak/>
        <w:t>средства, в случае, указанном в части 8.1 статьи 55.16-1 Градостроительного кодекса Российской Федерации.</w:t>
      </w:r>
    </w:p>
    <w:p w:rsidR="001C046E" w:rsidRPr="00531657" w:rsidRDefault="001C046E" w:rsidP="001C046E">
      <w:pPr>
        <w:pStyle w:val="ConsPlusNormal"/>
        <w:ind w:firstLine="567"/>
        <w:jc w:val="both"/>
        <w:rPr>
          <w:sz w:val="24"/>
          <w:szCs w:val="24"/>
        </w:rPr>
      </w:pPr>
      <w:r>
        <w:rPr>
          <w:sz w:val="24"/>
          <w:szCs w:val="24"/>
        </w:rPr>
        <w:t>5</w:t>
      </w:r>
      <w:r w:rsidRPr="00531657">
        <w:rPr>
          <w:sz w:val="24"/>
          <w:szCs w:val="24"/>
        </w:rPr>
        <w:t>.1.7. перечисление взноса в компенсационный фонд возмещения вреда индивидуального предпринимателя, юридического лица, прекративших членство в Ассоциации, на специальный банковский счет в соответствии с частью 10 статьи 55.7 Градостроительного кодекса Российской Федерации.</w:t>
      </w:r>
    </w:p>
    <w:p w:rsidR="001C046E" w:rsidRPr="00A156FA" w:rsidRDefault="001C046E" w:rsidP="001C046E">
      <w:pPr>
        <w:pStyle w:val="ConsPlusNormal"/>
        <w:ind w:firstLine="567"/>
        <w:jc w:val="both"/>
        <w:rPr>
          <w:sz w:val="24"/>
          <w:szCs w:val="24"/>
        </w:rPr>
      </w:pPr>
      <w:r>
        <w:rPr>
          <w:sz w:val="24"/>
          <w:szCs w:val="24"/>
        </w:rPr>
        <w:t>5</w:t>
      </w:r>
      <w:r w:rsidRPr="00531657">
        <w:rPr>
          <w:sz w:val="24"/>
          <w:szCs w:val="24"/>
        </w:rPr>
        <w:t>.1.8. 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такой Ассоциации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5.3. Решение об осуществлении выплаты из компенсационного фонда возмещения вреда в случаях, предусмотренных п. 5.1.1 и 5.1.4 Положения принимает президент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5.4. Выплата из компенсационного фонда возмещения вреда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в  случае, если лицо, вследствие недостатков работ которого по строительству, реконструкции, капитальному ремонту, сносу объектов капитального строительства был причинен вред,  являлось на момент выполнения таких работ членом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5.5. Требование должно быть направлено в Ассоциацию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доверенности с приложением таковой.</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 В требовании указывается: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5.6.1. дата составления;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5.6.3. место нахождения заявителя (для физического лица – адрес регистрации заявителя по постоянному месту жительства);</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5.6.4. платежные реквизиты заявителя для перечисления денежных средств из компенсационного фонда возмещения вреда;</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5.6.5. наименование и место нахождения члена Ассоциации, вследствие недостатков работ по строительству, реконструкции, капитальному ремонту, сносу объектов капитального строительства которого был причинен вред;</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5.6.6. сумма, которая необходима для возмещения;</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5.6.7. основание выплаты.</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 К требованию должны быть приложены:</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5.7.1.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5.7.2. на усмотрение заявителя могут быть приложены иные документы.</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lastRenderedPageBreak/>
        <w:t>5.8. Документы, прилагаемые к требованию, представляются в Ассоциацию по описи.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5.9. Документы, предоставляемые заявителем, вне зависимости от результатов их рассмотрения, заявителю не возвращаются и хранятся в архиве Ассоциации.</w:t>
      </w:r>
    </w:p>
    <w:p w:rsidR="001C046E" w:rsidRPr="00A156FA" w:rsidRDefault="001C046E" w:rsidP="001C046E">
      <w:pPr>
        <w:ind w:firstLine="567"/>
        <w:jc w:val="both"/>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5.10.</w:t>
      </w:r>
      <w:r w:rsidRPr="00A156FA">
        <w:rPr>
          <w:rFonts w:ascii="Times New Roman" w:eastAsia="Times New Roman" w:hAnsi="Times New Roman" w:cs="Times New Roman"/>
          <w:sz w:val="24"/>
          <w:szCs w:val="24"/>
          <w:lang w:val="ru-RU" w:eastAsia="ru-RU"/>
        </w:rPr>
        <w:tab/>
        <w:t>При поступлении требования в Ассоциацию президент в течение 3 (трех) рабочих дней с даты поступления информирует об этом правление Ассоциации, которое в срок не более чем 10 (десять) рабочих дней принимает решение о выплате из компенсационного фонда возмещения вреда.</w:t>
      </w:r>
    </w:p>
    <w:p w:rsidR="001C046E" w:rsidRPr="00A156FA" w:rsidRDefault="001C046E" w:rsidP="001C046E">
      <w:pPr>
        <w:ind w:firstLine="709"/>
        <w:jc w:val="both"/>
        <w:rPr>
          <w:lang w:val="ru-RU"/>
        </w:rPr>
      </w:pPr>
    </w:p>
    <w:p w:rsidR="001C046E" w:rsidRPr="00A156FA" w:rsidRDefault="001C046E" w:rsidP="001C046E">
      <w:pPr>
        <w:pStyle w:val="a3"/>
        <w:spacing w:before="0" w:beforeAutospacing="0" w:after="0" w:afterAutospacing="0"/>
        <w:jc w:val="center"/>
        <w:textAlignment w:val="top"/>
        <w:rPr>
          <w:sz w:val="28"/>
          <w:szCs w:val="28"/>
        </w:rPr>
      </w:pPr>
      <w:r w:rsidRPr="00A156FA">
        <w:rPr>
          <w:b/>
          <w:sz w:val="28"/>
          <w:szCs w:val="28"/>
        </w:rPr>
        <w:t>6. Восполнение средств компенсационного фонда возмещения вреда</w:t>
      </w:r>
    </w:p>
    <w:p w:rsidR="001C046E" w:rsidRPr="00A156FA" w:rsidRDefault="001C046E" w:rsidP="001C046E">
      <w:pPr>
        <w:pStyle w:val="a6"/>
        <w:ind w:firstLine="567"/>
        <w:jc w:val="both"/>
        <w:rPr>
          <w:rFonts w:ascii="Times New Roman" w:eastAsia="Times New Roman" w:hAnsi="Times New Roman"/>
          <w:sz w:val="24"/>
          <w:szCs w:val="24"/>
          <w:lang w:eastAsia="ru-RU"/>
        </w:rPr>
      </w:pPr>
      <w:r w:rsidRPr="00A156FA">
        <w:rPr>
          <w:rFonts w:ascii="Times New Roman" w:eastAsia="Times New Roman" w:hAnsi="Times New Roman"/>
          <w:sz w:val="24"/>
          <w:szCs w:val="24"/>
          <w:lang w:eastAsia="ru-RU"/>
        </w:rPr>
        <w:t xml:space="preserve">6.1.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6.2.</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Ассоциации в результате осуществления выплат в соответствии со статьей</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60 Градостроительного кодекса Российской Федерации вследствие недостатков работ по строительству, реконструкции, капитальному ремонту, сносу объектов капитального строительства член Ассоциации, которым был причинен вред, а также иные члены Ассоциации должны внести взносы в компенсационный фонд возмещения вреда в установленный в п. 6.1. настоящего Положения срок со дня осуществления указанных выплат.</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6.3.</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п.6.1</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6.4. Средства компенсационного фонда возмещения вреда Ассоциации, выплаченные в соответствии с п. 6.1 настоящего Положения, подлежат восполнению за счет виновного члена Ассоциации. После осуществления соответствующей выплаты президент Ассоциации в течение 10 (десяти)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6.5. При уменьшении размера компенсационного фонда ниже минимального президент Ассоциации или иное заинтересованное лицо информирует об этом правление Ассоциации и вносит предложения о восполнении средств компенсационного фонда за счет взносов членов Ассоциации.</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6.6. Правление Ассоциации в срок, не более чем 10 (десять) рабочих дней принимает решение о необходимости внесения дополнительных взносов членами Ассоциации с целью его восполнения.</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xml:space="preserve">6.7. В решении указывается: </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причина уменьшения размера компенсационного фонда возмещения вреда ниже минимального уровня;</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методика расчета дополнительного взноса;</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t>- перечень членов Ассоциации, обязанных внести дополнительные взносы, и размер взносов;</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sidRPr="00A156FA">
        <w:rPr>
          <w:rFonts w:ascii="Times New Roman" w:eastAsia="Times New Roman" w:hAnsi="Times New Roman" w:cs="Times New Roman"/>
          <w:sz w:val="24"/>
          <w:szCs w:val="24"/>
          <w:lang w:val="ru-RU" w:eastAsia="ru-RU"/>
        </w:rPr>
        <w:lastRenderedPageBreak/>
        <w:t>- срок, в течение которого должны быть осуществлены дополнительные взносы в компенсационный фонд возмещения вреда.</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6.8</w:t>
      </w:r>
      <w:r w:rsidRPr="00A156FA">
        <w:rPr>
          <w:rFonts w:ascii="Times New Roman" w:eastAsia="Times New Roman" w:hAnsi="Times New Roman" w:cs="Times New Roman"/>
          <w:sz w:val="24"/>
          <w:szCs w:val="24"/>
          <w:lang w:val="ru-RU" w:eastAsia="ru-RU"/>
        </w:rPr>
        <w:t>.</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 xml:space="preserve">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1C046E" w:rsidRPr="00A156FA" w:rsidRDefault="001C046E" w:rsidP="001C046E">
      <w:pPr>
        <w:ind w:firstLine="567"/>
        <w:jc w:val="both"/>
        <w:textAlignment w:val="top"/>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r w:rsidRPr="00A156FA">
        <w:rPr>
          <w:rFonts w:ascii="Times New Roman" w:eastAsia="Times New Roman" w:hAnsi="Times New Roman" w:cs="Times New Roman"/>
          <w:sz w:val="24"/>
          <w:szCs w:val="24"/>
          <w:lang w:val="ru-RU" w:eastAsia="ru-RU"/>
        </w:rPr>
        <w:t>.</w:t>
      </w:r>
      <w:r w:rsidRPr="00A156FA">
        <w:rPr>
          <w:rFonts w:ascii="Times New Roman" w:eastAsia="Times New Roman" w:hAnsi="Times New Roman" w:cs="Times New Roman"/>
          <w:sz w:val="24"/>
          <w:szCs w:val="24"/>
          <w:lang w:eastAsia="ru-RU"/>
        </w:rPr>
        <w:t> </w:t>
      </w:r>
      <w:r w:rsidRPr="00A156FA">
        <w:rPr>
          <w:rFonts w:ascii="Times New Roman" w:eastAsia="Times New Roman" w:hAnsi="Times New Roman" w:cs="Times New Roman"/>
          <w:sz w:val="24"/>
          <w:szCs w:val="24"/>
          <w:lang w:val="ru-RU" w:eastAsia="ru-RU"/>
        </w:rPr>
        <w:t>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1C046E" w:rsidRPr="00A156FA" w:rsidRDefault="001C046E" w:rsidP="001C046E">
      <w:pPr>
        <w:pStyle w:val="a3"/>
        <w:spacing w:before="0" w:beforeAutospacing="0" w:after="0" w:afterAutospacing="0"/>
        <w:ind w:firstLine="709"/>
        <w:jc w:val="both"/>
        <w:textAlignment w:val="top"/>
      </w:pPr>
    </w:p>
    <w:p w:rsidR="001C046E" w:rsidRPr="00A156FA" w:rsidRDefault="001C046E" w:rsidP="001C046E">
      <w:pPr>
        <w:pStyle w:val="a3"/>
        <w:spacing w:before="0" w:beforeAutospacing="0" w:after="0" w:afterAutospacing="0"/>
        <w:jc w:val="center"/>
        <w:textAlignment w:val="top"/>
        <w:rPr>
          <w:b/>
          <w:sz w:val="28"/>
          <w:szCs w:val="28"/>
        </w:rPr>
      </w:pPr>
      <w:r w:rsidRPr="00A156FA">
        <w:rPr>
          <w:b/>
          <w:sz w:val="28"/>
          <w:szCs w:val="28"/>
        </w:rPr>
        <w:t>7. Контроль за состоянием компенсационного фонда возмещения вреда</w:t>
      </w:r>
    </w:p>
    <w:p w:rsidR="001C046E" w:rsidRPr="00A156FA" w:rsidRDefault="001C046E" w:rsidP="001C046E">
      <w:pPr>
        <w:pStyle w:val="a3"/>
        <w:spacing w:before="0" w:beforeAutospacing="0" w:after="0" w:afterAutospacing="0"/>
        <w:ind w:firstLine="567"/>
        <w:jc w:val="both"/>
        <w:textAlignment w:val="top"/>
      </w:pPr>
      <w:r w:rsidRPr="00A156FA">
        <w:t xml:space="preserve">7.1. Контроль за состоянием компенсационного фонда осуществляет президент Ассоциации. </w:t>
      </w:r>
    </w:p>
    <w:p w:rsidR="001C046E" w:rsidRPr="00A156FA" w:rsidRDefault="001C046E" w:rsidP="001C046E">
      <w:pPr>
        <w:pStyle w:val="a3"/>
        <w:spacing w:before="0" w:beforeAutospacing="0" w:after="0" w:afterAutospacing="0"/>
        <w:ind w:firstLine="567"/>
        <w:jc w:val="both"/>
        <w:textAlignment w:val="top"/>
      </w:pPr>
      <w:r w:rsidRPr="00A156FA">
        <w:t>7.2. Информация о текущем размере компенсационного фонда должна размещаться на сайте Ассоциации и обновляться по мере изменения размера компенсационного фонда, а также ежеквартально не позднее чем в течение пяти рабочих дней с начала очередного квартала.</w:t>
      </w:r>
    </w:p>
    <w:p w:rsidR="001C046E" w:rsidRPr="00A156FA" w:rsidRDefault="001C046E" w:rsidP="001C046E">
      <w:pPr>
        <w:pStyle w:val="a3"/>
        <w:spacing w:before="0" w:beforeAutospacing="0" w:after="0" w:afterAutospacing="0"/>
        <w:ind w:firstLine="567"/>
        <w:jc w:val="both"/>
        <w:textAlignment w:val="top"/>
      </w:pPr>
      <w:r w:rsidRPr="00A156FA">
        <w:t>7.3. При уменьшении размера компенсационного фонда возмещения вреда Ассоциации, ниже минимального размера, определенного Градостроительным кодексом Российской Федерации, или при возникновении такой угрозы, президент Ассоциации 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w:t>
      </w:r>
    </w:p>
    <w:p w:rsidR="001C046E" w:rsidRPr="00A156FA" w:rsidRDefault="001C046E" w:rsidP="001C046E">
      <w:pPr>
        <w:pStyle w:val="a3"/>
        <w:spacing w:before="0" w:beforeAutospacing="0" w:after="0" w:afterAutospacing="0"/>
        <w:ind w:firstLine="709"/>
        <w:jc w:val="both"/>
        <w:textAlignment w:val="top"/>
      </w:pPr>
    </w:p>
    <w:p w:rsidR="001C046E" w:rsidRPr="00A156FA" w:rsidRDefault="001C046E" w:rsidP="001C046E">
      <w:pPr>
        <w:pStyle w:val="a3"/>
        <w:spacing w:before="0" w:beforeAutospacing="0" w:after="0" w:afterAutospacing="0"/>
        <w:jc w:val="center"/>
        <w:textAlignment w:val="top"/>
        <w:rPr>
          <w:sz w:val="28"/>
          <w:szCs w:val="28"/>
        </w:rPr>
      </w:pPr>
      <w:r w:rsidRPr="00A156FA">
        <w:rPr>
          <w:b/>
          <w:sz w:val="28"/>
          <w:szCs w:val="28"/>
        </w:rPr>
        <w:t>8. Заключительное положение</w:t>
      </w:r>
    </w:p>
    <w:p w:rsidR="001C046E" w:rsidRDefault="001C046E" w:rsidP="001C046E">
      <w:pPr>
        <w:pStyle w:val="a3"/>
        <w:spacing w:before="0" w:beforeAutospacing="0" w:after="0" w:afterAutospacing="0"/>
        <w:ind w:firstLine="567"/>
        <w:jc w:val="both"/>
        <w:textAlignment w:val="top"/>
      </w:pPr>
      <w:r w:rsidRPr="00A156FA">
        <w:t>8.1. Распоряжение средствами компенсационного фонда возмещения вреда в случае исключения сведений об Ассоциации из государственного реестра саморегулируемых организаций осуществляется в порядке, установленном Градостроительным кодексом Российской Федерации.</w:t>
      </w:r>
    </w:p>
    <w:p w:rsidR="001C046E" w:rsidRDefault="001C046E" w:rsidP="001C046E">
      <w:pPr>
        <w:pStyle w:val="a3"/>
        <w:spacing w:before="0" w:beforeAutospacing="0" w:after="0" w:afterAutospacing="0"/>
        <w:ind w:firstLine="567"/>
        <w:jc w:val="both"/>
        <w:textAlignment w:val="top"/>
      </w:pPr>
      <w:r>
        <w:t>8.2. Индивидуальный предприниматель или юридическое лицо в случае исключения сведений о Ассоциации,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C046E" w:rsidRDefault="001C046E" w:rsidP="001C046E">
      <w:pPr>
        <w:pStyle w:val="a3"/>
        <w:spacing w:before="0" w:beforeAutospacing="0" w:after="0" w:afterAutospacing="0"/>
        <w:ind w:firstLine="567"/>
        <w:jc w:val="both"/>
        <w:textAlignment w:val="top"/>
      </w:pPr>
      <w:r>
        <w:t>8.3. По заявлению о перечислении, указанному в п. 8.2.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1C046E" w:rsidRDefault="001C046E" w:rsidP="001C046E">
      <w:pPr>
        <w:pStyle w:val="a3"/>
        <w:spacing w:before="0" w:beforeAutospacing="0" w:after="0" w:afterAutospacing="0"/>
        <w:ind w:firstLine="567"/>
        <w:jc w:val="both"/>
        <w:textAlignment w:val="top"/>
      </w:pPr>
      <w:r>
        <w:t xml:space="preserve">8.4.  В случае отсутствия на момент принятия решения по заявлению о перечислении, указанному в п.8.2. настоящего Положения, на специальном банковском счете (счетах) Национального объединения саморегулируемых организаций средств </w:t>
      </w:r>
      <w:r>
        <w:lastRenderedPageBreak/>
        <w:t>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п.8.3. настоящего Положения.</w:t>
      </w:r>
    </w:p>
    <w:p w:rsidR="001C046E" w:rsidRDefault="001C046E" w:rsidP="001C046E">
      <w:pPr>
        <w:pStyle w:val="a3"/>
        <w:spacing w:before="0" w:beforeAutospacing="0" w:after="0" w:afterAutospacing="0"/>
        <w:ind w:firstLine="567"/>
        <w:jc w:val="both"/>
        <w:textAlignment w:val="top"/>
      </w:pPr>
      <w:r>
        <w:t>8.5. В случае, если денежные средства компенсационного фонда возмещения вреда Ассоциации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Ассоциации,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Ассоциации в реестр требований кредиторов в размере остатка таких средств на банковском счете саморегулируемой организации.</w:t>
      </w:r>
    </w:p>
    <w:p w:rsidR="001C046E" w:rsidRDefault="001C046E" w:rsidP="001C046E">
      <w:pPr>
        <w:pStyle w:val="a3"/>
        <w:spacing w:before="0" w:beforeAutospacing="0" w:after="0" w:afterAutospacing="0"/>
        <w:ind w:firstLine="567"/>
        <w:jc w:val="both"/>
        <w:textAlignment w:val="top"/>
      </w:pPr>
      <w:r>
        <w:t>8.6. В случае, предусмотренном п. 8.5. настоящего Положения, после удовлетворения требований саморегулируемой организации к указанной в п. 8.5.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1C046E" w:rsidRPr="00A156FA" w:rsidRDefault="001C046E" w:rsidP="001C046E">
      <w:pPr>
        <w:pStyle w:val="a3"/>
        <w:spacing w:before="0" w:beforeAutospacing="0" w:after="0" w:afterAutospacing="0"/>
        <w:ind w:firstLine="567"/>
        <w:jc w:val="both"/>
        <w:textAlignment w:val="top"/>
      </w:pPr>
      <w:r>
        <w:t>8.7. В случаях, предусмотренных п. 8.5 и п.  8.6.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1C046E" w:rsidRPr="00A156FA" w:rsidRDefault="001C046E" w:rsidP="001C046E">
      <w:pPr>
        <w:pStyle w:val="a3"/>
        <w:spacing w:before="0" w:beforeAutospacing="0" w:after="0" w:afterAutospacing="0"/>
        <w:ind w:firstLine="567"/>
        <w:jc w:val="both"/>
        <w:textAlignment w:val="top"/>
      </w:pPr>
      <w:r>
        <w:t>8.8</w:t>
      </w:r>
      <w:r w:rsidRPr="00A156FA">
        <w:t>. Настоящее Положение, изменения, внесенные в него, решение о признании настоящего Положения утратившим силу вступают в силу не ранее дня внесения сведений о них в государственный реестр саморегулируемых организаций.</w:t>
      </w: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rPr>
          <w:rFonts w:ascii="Times New Roman" w:hAnsi="Times New Roman" w:cs="Times New Roman"/>
          <w:lang w:val="ru-RU"/>
        </w:rPr>
      </w:pPr>
    </w:p>
    <w:p w:rsidR="001C046E" w:rsidRPr="00A156FA" w:rsidRDefault="001C046E" w:rsidP="001C046E">
      <w:pPr>
        <w:jc w:val="center"/>
        <w:rPr>
          <w:rFonts w:ascii="Times New Roman" w:hAnsi="Times New Roman" w:cs="Times New Roman"/>
          <w:lang w:val="ru-RU"/>
        </w:rPr>
      </w:pPr>
    </w:p>
    <w:p w:rsidR="00ED239E" w:rsidRPr="001C046E" w:rsidRDefault="00ED239E">
      <w:pPr>
        <w:rPr>
          <w:lang w:val="ru-RU"/>
        </w:rPr>
      </w:pPr>
    </w:p>
    <w:sectPr w:rsidR="00ED239E" w:rsidRPr="001C046E" w:rsidSect="00C52B4A">
      <w:headerReference w:type="default" r:id="rId5"/>
      <w:headerReference w:type="first" r:id="rId6"/>
      <w:pgSz w:w="11906" w:h="16838"/>
      <w:pgMar w:top="1134" w:right="1133" w:bottom="1134" w:left="1560" w:header="567"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715636"/>
      <w:docPartObj>
        <w:docPartGallery w:val="Page Numbers (Bottom of Page)"/>
        <w:docPartUnique/>
      </w:docPartObj>
    </w:sdtPr>
    <w:sdtEndPr>
      <w:rPr>
        <w:rFonts w:ascii="Times New Roman" w:hAnsi="Times New Roman" w:cs="Times New Roman"/>
        <w:sz w:val="20"/>
        <w:szCs w:val="20"/>
      </w:rPr>
    </w:sdtEndPr>
    <w:sdtContent>
      <w:p w:rsidR="00C52B4A" w:rsidRPr="00C52B4A" w:rsidRDefault="001C046E">
        <w:pPr>
          <w:pStyle w:val="a7"/>
          <w:jc w:val="right"/>
          <w:rPr>
            <w:rFonts w:ascii="Times New Roman" w:hAnsi="Times New Roman" w:cs="Times New Roman"/>
            <w:sz w:val="20"/>
            <w:szCs w:val="20"/>
          </w:rPr>
        </w:pPr>
        <w:r w:rsidRPr="00C52B4A">
          <w:rPr>
            <w:rFonts w:ascii="Times New Roman" w:hAnsi="Times New Roman" w:cs="Times New Roman"/>
            <w:sz w:val="20"/>
            <w:szCs w:val="20"/>
          </w:rPr>
          <w:fldChar w:fldCharType="begin"/>
        </w:r>
        <w:r w:rsidRPr="00C52B4A">
          <w:rPr>
            <w:rFonts w:ascii="Times New Roman" w:hAnsi="Times New Roman" w:cs="Times New Roman"/>
            <w:sz w:val="20"/>
            <w:szCs w:val="20"/>
          </w:rPr>
          <w:instrText>PAGE   \* MERGEFORMAT</w:instrText>
        </w:r>
        <w:r w:rsidRPr="00C52B4A">
          <w:rPr>
            <w:rFonts w:ascii="Times New Roman" w:hAnsi="Times New Roman" w:cs="Times New Roman"/>
            <w:sz w:val="20"/>
            <w:szCs w:val="20"/>
          </w:rPr>
          <w:fldChar w:fldCharType="separate"/>
        </w:r>
        <w:r w:rsidRPr="001C046E">
          <w:rPr>
            <w:rFonts w:ascii="Times New Roman" w:hAnsi="Times New Roman" w:cs="Times New Roman"/>
            <w:noProof/>
            <w:sz w:val="20"/>
            <w:szCs w:val="20"/>
            <w:lang w:val="ru-RU"/>
          </w:rPr>
          <w:t>2</w:t>
        </w:r>
        <w:r w:rsidRPr="00C52B4A">
          <w:rPr>
            <w:rFonts w:ascii="Times New Roman" w:hAnsi="Times New Roman" w:cs="Times New Roman"/>
            <w:sz w:val="20"/>
            <w:szCs w:val="20"/>
          </w:rPr>
          <w:fldChar w:fldCharType="end"/>
        </w:r>
      </w:p>
    </w:sdtContent>
  </w:sdt>
  <w:p w:rsidR="00C52B4A" w:rsidRDefault="001C046E">
    <w:pPr>
      <w:pStyle w:val="a7"/>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793BD0" w:rsidRDefault="001C046E" w:rsidP="003E48CF">
    <w:pPr>
      <w:pStyle w:val="a4"/>
      <w:tabs>
        <w:tab w:val="center" w:pos="4606"/>
        <w:tab w:val="left" w:pos="522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4A4" w:rsidRPr="00E424A4" w:rsidRDefault="001C046E">
    <w:pPr>
      <w:pStyle w:val="a4"/>
      <w:jc w:val="center"/>
      <w:rPr>
        <w:sz w:val="20"/>
        <w:szCs w:val="20"/>
      </w:rPr>
    </w:pPr>
  </w:p>
  <w:p w:rsidR="00E86156" w:rsidRPr="00F74153" w:rsidRDefault="001C046E" w:rsidP="009D4428">
    <w:pPr>
      <w:tabs>
        <w:tab w:val="center" w:pos="4677"/>
        <w:tab w:val="right" w:pos="9355"/>
      </w:tabs>
      <w:jc w:val="both"/>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6E"/>
    <w:rsid w:val="001C046E"/>
    <w:rsid w:val="00ED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6A632"/>
  <w15:chartTrackingRefBased/>
  <w15:docId w15:val="{7AE302AB-BDB0-4B99-8F04-A5D2F5D3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046E"/>
    <w:pPr>
      <w:widowControl w:val="0"/>
      <w:spacing w:after="0" w:line="240" w:lineRule="auto"/>
    </w:pPr>
    <w:rPr>
      <w:lang w:val="en-US"/>
    </w:rPr>
  </w:style>
  <w:style w:type="paragraph" w:styleId="1">
    <w:name w:val="heading 1"/>
    <w:basedOn w:val="a"/>
    <w:link w:val="10"/>
    <w:uiPriority w:val="1"/>
    <w:qFormat/>
    <w:rsid w:val="001C046E"/>
    <w:pPr>
      <w:ind w:left="101"/>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46E"/>
    <w:rPr>
      <w:rFonts w:ascii="Times New Roman" w:eastAsia="Times New Roman" w:hAnsi="Times New Roman"/>
      <w:b/>
      <w:bCs/>
      <w:sz w:val="24"/>
      <w:szCs w:val="24"/>
      <w:lang w:val="en-US"/>
    </w:rPr>
  </w:style>
  <w:style w:type="paragraph" w:styleId="a3">
    <w:name w:val="Normal (Web)"/>
    <w:basedOn w:val="a"/>
    <w:uiPriority w:val="99"/>
    <w:unhideWhenUsed/>
    <w:rsid w:val="001C046E"/>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1C046E"/>
    <w:pPr>
      <w:widowControl/>
      <w:tabs>
        <w:tab w:val="center" w:pos="4677"/>
        <w:tab w:val="right" w:pos="9355"/>
      </w:tabs>
      <w:spacing w:after="200" w:line="276" w:lineRule="auto"/>
    </w:pPr>
    <w:rPr>
      <w:rFonts w:ascii="Times New Roman" w:eastAsia="Calibri" w:hAnsi="Times New Roman" w:cs="Times New Roman"/>
      <w:lang w:val="ru-RU"/>
    </w:rPr>
  </w:style>
  <w:style w:type="character" w:customStyle="1" w:styleId="a5">
    <w:name w:val="Верхний колонтитул Знак"/>
    <w:basedOn w:val="a0"/>
    <w:link w:val="a4"/>
    <w:uiPriority w:val="99"/>
    <w:rsid w:val="001C046E"/>
    <w:rPr>
      <w:rFonts w:ascii="Times New Roman" w:eastAsia="Calibri" w:hAnsi="Times New Roman" w:cs="Times New Roman"/>
    </w:rPr>
  </w:style>
  <w:style w:type="paragraph" w:styleId="a6">
    <w:name w:val="No Spacing"/>
    <w:uiPriority w:val="1"/>
    <w:qFormat/>
    <w:rsid w:val="001C046E"/>
    <w:pPr>
      <w:spacing w:after="0" w:line="240" w:lineRule="auto"/>
    </w:pPr>
    <w:rPr>
      <w:rFonts w:ascii="Calibri" w:eastAsia="Calibri" w:hAnsi="Calibri" w:cs="Times New Roman"/>
    </w:rPr>
  </w:style>
  <w:style w:type="paragraph" w:customStyle="1" w:styleId="ConsPlusNormal">
    <w:name w:val="ConsPlusNormal"/>
    <w:rsid w:val="001C046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7">
    <w:name w:val="footer"/>
    <w:basedOn w:val="a"/>
    <w:link w:val="a8"/>
    <w:uiPriority w:val="99"/>
    <w:unhideWhenUsed/>
    <w:rsid w:val="001C046E"/>
    <w:pPr>
      <w:tabs>
        <w:tab w:val="center" w:pos="4677"/>
        <w:tab w:val="right" w:pos="9355"/>
      </w:tabs>
    </w:pPr>
  </w:style>
  <w:style w:type="character" w:customStyle="1" w:styleId="a8">
    <w:name w:val="Нижний колонтитул Знак"/>
    <w:basedOn w:val="a0"/>
    <w:link w:val="a7"/>
    <w:uiPriority w:val="99"/>
    <w:rsid w:val="001C046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4041</Words>
  <Characters>23036</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2022-04-07T11:25:00Z</dcterms:created>
  <dcterms:modified xsi:type="dcterms:W3CDTF">2022-04-07T11:34:00Z</dcterms:modified>
</cp:coreProperties>
</file>